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350F" w14:textId="77777777" w:rsidR="00C47B0D" w:rsidRDefault="00C47B0D" w:rsidP="00C47B0D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lang w:eastAsia="fr-FR"/>
        </w:rPr>
      </w:pPr>
    </w:p>
    <w:p w14:paraId="6BA663E0" w14:textId="0FA2C2EA" w:rsidR="00C47B0D" w:rsidRDefault="00AC6BB9" w:rsidP="00AC6BB9">
      <w:pPr>
        <w:pStyle w:val="En-ttedetabledesmatir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 w:cs="Calibri"/>
          <w:b/>
          <w:color w:val="000000"/>
        </w:rPr>
      </w:pPr>
      <w:r w:rsidRPr="00C47B0D">
        <w:rPr>
          <w:rFonts w:ascii="Calibri" w:eastAsia="Times New Roman" w:hAnsi="Calibri" w:cs="Calibri"/>
          <w:b/>
          <w:color w:val="000000"/>
        </w:rPr>
        <w:t>Méthodologie de notation des projets</w:t>
      </w:r>
    </w:p>
    <w:p w14:paraId="69528A00" w14:textId="77777777" w:rsidR="00C47B0D" w:rsidRPr="002A2633" w:rsidRDefault="00C47B0D" w:rsidP="00C47B0D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b/>
          <w:lang w:eastAsia="fr-FR"/>
        </w:rPr>
      </w:pPr>
      <w:r w:rsidRPr="002A2633">
        <w:rPr>
          <w:rFonts w:ascii="Calibri" w:eastAsia="Times New Roman" w:hAnsi="Calibri" w:cs="Calibri"/>
          <w:b/>
          <w:color w:val="000000"/>
          <w:lang w:eastAsia="fr-FR"/>
        </w:rPr>
        <w:t>Cadre de l’ACV et indicateurs retenus </w:t>
      </w:r>
    </w:p>
    <w:p w14:paraId="1E850522" w14:textId="77777777" w:rsidR="00C47B0D" w:rsidRPr="00502028" w:rsidRDefault="00C47B0D" w:rsidP="00C47B0D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fr-FR"/>
        </w:rPr>
      </w:pPr>
    </w:p>
    <w:p w14:paraId="7022A8BD" w14:textId="77777777" w:rsidR="00C47B0D" w:rsidRPr="00502028" w:rsidRDefault="00C47B0D" w:rsidP="00C47B0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502028">
        <w:rPr>
          <w:rFonts w:ascii="Calibri" w:eastAsia="Times New Roman" w:hAnsi="Calibri" w:cs="Calibri"/>
          <w:color w:val="000000"/>
          <w:lang w:eastAsia="fr-FR"/>
        </w:rPr>
        <w:t>Pour rappel, les candidats à l’appel d’offre sont tenus de réaliser une ACV en se basant sur la méthodologie du référentiel E+C-. Il est demandé aux candidats de préciser les impacts de son projet pour les 4 contributeurs (Produits de Construction et Equipements (PCE), Chantier, Consommation d’énergie et Consommation d’eau) sur les indicateurs sélectionnés. </w:t>
      </w:r>
    </w:p>
    <w:p w14:paraId="7CB04E1F" w14:textId="77777777" w:rsidR="00C47B0D" w:rsidRDefault="00C47B0D" w:rsidP="00C47B0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502028">
        <w:rPr>
          <w:rFonts w:ascii="Calibri" w:eastAsia="Times New Roman" w:hAnsi="Calibri" w:cs="Calibri"/>
          <w:color w:val="000000"/>
          <w:lang w:eastAsia="fr-FR"/>
        </w:rPr>
        <w:t>Dans le cadre de cet appel à projet, 9 indicateurs définis dans le référentiel Energie-Carbone ont été sélectionnés : </w:t>
      </w:r>
    </w:p>
    <w:p w14:paraId="12B1F805" w14:textId="77777777" w:rsidR="00C47B0D" w:rsidRPr="00502028" w:rsidRDefault="00C47B0D" w:rsidP="00C47B0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tbl>
      <w:tblPr>
        <w:tblpPr w:leftFromText="141" w:rightFromText="141" w:vertAnchor="text" w:tblpXSpec="center" w:tblpY="1"/>
        <w:tblOverlap w:val="never"/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1980"/>
      </w:tblGrid>
      <w:tr w:rsidR="00C47B0D" w:rsidRPr="00502028" w14:paraId="6DC11D7C" w14:textId="77777777" w:rsidTr="001C70A3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50849BED" w14:textId="77777777" w:rsidR="00C47B0D" w:rsidRPr="00502028" w:rsidRDefault="00C47B0D" w:rsidP="001C70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02028">
              <w:rPr>
                <w:rFonts w:ascii="Calibri" w:eastAsia="Times New Roman" w:hAnsi="Calibri" w:cs="Calibri"/>
                <w:b/>
                <w:bCs/>
                <w:lang w:eastAsia="fr-FR"/>
              </w:rPr>
              <w:t>Nom de l’indicateur</w:t>
            </w:r>
            <w:r w:rsidRPr="00502028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0A5EB136" w14:textId="77777777" w:rsidR="00C47B0D" w:rsidRPr="00502028" w:rsidRDefault="00C47B0D" w:rsidP="001C70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02028">
              <w:rPr>
                <w:rFonts w:ascii="Calibri" w:eastAsia="Times New Roman" w:hAnsi="Calibri" w:cs="Calibri"/>
                <w:b/>
                <w:bCs/>
                <w:lang w:eastAsia="fr-FR"/>
              </w:rPr>
              <w:t>Unité</w:t>
            </w:r>
            <w:r w:rsidRPr="00502028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C47B0D" w:rsidRPr="00502028" w14:paraId="3F09C269" w14:textId="77777777" w:rsidTr="001C70A3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951915" w14:textId="77777777" w:rsidR="00C47B0D" w:rsidRPr="00502028" w:rsidRDefault="00C47B0D" w:rsidP="001C70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02028">
              <w:rPr>
                <w:rFonts w:ascii="Calibri" w:eastAsia="Times New Roman" w:hAnsi="Calibri" w:cs="Calibri"/>
                <w:lang w:eastAsia="fr-FR"/>
              </w:rPr>
              <w:t>Potentiel de Réchauffement climatique (GWP)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EFF800" w14:textId="77777777" w:rsidR="00C47B0D" w:rsidRPr="00502028" w:rsidRDefault="00C47B0D" w:rsidP="001C70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502028">
              <w:rPr>
                <w:rFonts w:ascii="Calibri" w:eastAsia="Times New Roman" w:hAnsi="Calibri" w:cs="Calibri"/>
                <w:lang w:eastAsia="fr-FR"/>
              </w:rPr>
              <w:t>kg</w:t>
            </w:r>
            <w:proofErr w:type="gramEnd"/>
            <w:r w:rsidRPr="00502028">
              <w:rPr>
                <w:rFonts w:ascii="Calibri" w:eastAsia="Times New Roman" w:hAnsi="Calibri" w:cs="Calibri"/>
                <w:lang w:eastAsia="fr-FR"/>
              </w:rPr>
              <w:t> </w:t>
            </w:r>
            <w:proofErr w:type="spellStart"/>
            <w:r w:rsidRPr="00502028">
              <w:rPr>
                <w:rFonts w:ascii="Calibri" w:eastAsia="Times New Roman" w:hAnsi="Calibri" w:cs="Calibri"/>
                <w:lang w:eastAsia="fr-FR"/>
              </w:rPr>
              <w:t>éq</w:t>
            </w:r>
            <w:proofErr w:type="spellEnd"/>
            <w:r w:rsidRPr="00502028">
              <w:rPr>
                <w:rFonts w:ascii="Calibri" w:eastAsia="Times New Roman" w:hAnsi="Calibri" w:cs="Calibri"/>
                <w:lang w:eastAsia="fr-FR"/>
              </w:rPr>
              <w:t>. CO</w:t>
            </w:r>
            <w:r w:rsidRPr="00502028">
              <w:rPr>
                <w:rFonts w:ascii="Calibri" w:eastAsia="Times New Roman" w:hAnsi="Calibri" w:cs="Calibri"/>
                <w:sz w:val="17"/>
                <w:szCs w:val="17"/>
                <w:vertAlign w:val="subscript"/>
                <w:lang w:eastAsia="fr-FR"/>
              </w:rPr>
              <w:t>2</w:t>
            </w:r>
            <w:r w:rsidRPr="00502028">
              <w:rPr>
                <w:rFonts w:ascii="Calibri" w:eastAsia="Times New Roman" w:hAnsi="Calibri" w:cs="Calibri"/>
                <w:sz w:val="17"/>
                <w:szCs w:val="17"/>
                <w:lang w:eastAsia="fr-FR"/>
              </w:rPr>
              <w:t> </w:t>
            </w:r>
          </w:p>
        </w:tc>
      </w:tr>
      <w:tr w:rsidR="00C47B0D" w:rsidRPr="00502028" w14:paraId="16D19C73" w14:textId="77777777" w:rsidTr="001C70A3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7408A3" w14:textId="77777777" w:rsidR="00C47B0D" w:rsidRPr="00502028" w:rsidRDefault="00C47B0D" w:rsidP="001C70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02028">
              <w:rPr>
                <w:rFonts w:ascii="Calibri" w:eastAsia="Times New Roman" w:hAnsi="Calibri" w:cs="Calibri"/>
                <w:lang w:eastAsia="fr-FR"/>
              </w:rPr>
              <w:t>Potentiel de destruction de la couche d’ozone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7C54E5" w14:textId="77777777" w:rsidR="00C47B0D" w:rsidRPr="00502028" w:rsidRDefault="00C47B0D" w:rsidP="001C70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502028">
              <w:rPr>
                <w:rFonts w:ascii="Calibri" w:eastAsia="Times New Roman" w:hAnsi="Calibri" w:cs="Calibri"/>
                <w:lang w:eastAsia="fr-FR"/>
              </w:rPr>
              <w:t>kg</w:t>
            </w:r>
            <w:proofErr w:type="gramEnd"/>
            <w:r w:rsidRPr="00502028">
              <w:rPr>
                <w:rFonts w:ascii="Calibri" w:eastAsia="Times New Roman" w:hAnsi="Calibri" w:cs="Calibri"/>
                <w:lang w:eastAsia="fr-FR"/>
              </w:rPr>
              <w:t> CFC 11 </w:t>
            </w:r>
            <w:proofErr w:type="spellStart"/>
            <w:r w:rsidRPr="00502028">
              <w:rPr>
                <w:rFonts w:ascii="Calibri" w:eastAsia="Times New Roman" w:hAnsi="Calibri" w:cs="Calibri"/>
                <w:lang w:eastAsia="fr-FR"/>
              </w:rPr>
              <w:t>éq</w:t>
            </w:r>
            <w:proofErr w:type="spellEnd"/>
            <w:r w:rsidRPr="00502028">
              <w:rPr>
                <w:rFonts w:ascii="Calibri" w:eastAsia="Times New Roman" w:hAnsi="Calibri" w:cs="Calibri"/>
                <w:lang w:eastAsia="fr-FR"/>
              </w:rPr>
              <w:t>. </w:t>
            </w:r>
          </w:p>
        </w:tc>
      </w:tr>
      <w:tr w:rsidR="00C47B0D" w:rsidRPr="00502028" w14:paraId="0AAE347A" w14:textId="77777777" w:rsidTr="001C70A3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6BB7A8" w14:textId="77777777" w:rsidR="00C47B0D" w:rsidRPr="00502028" w:rsidRDefault="00C47B0D" w:rsidP="001C70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02028">
              <w:rPr>
                <w:rFonts w:ascii="Calibri" w:eastAsia="Times New Roman" w:hAnsi="Calibri" w:cs="Calibri"/>
                <w:lang w:eastAsia="fr-FR"/>
              </w:rPr>
              <w:t>Potentiel d'acidification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714D44" w14:textId="77777777" w:rsidR="00C47B0D" w:rsidRPr="00502028" w:rsidRDefault="00C47B0D" w:rsidP="001C70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502028">
              <w:rPr>
                <w:rFonts w:ascii="Calibri" w:eastAsia="Times New Roman" w:hAnsi="Calibri" w:cs="Calibri"/>
                <w:lang w:eastAsia="fr-FR"/>
              </w:rPr>
              <w:t>kg</w:t>
            </w:r>
            <w:proofErr w:type="gramEnd"/>
            <w:r w:rsidRPr="00502028">
              <w:rPr>
                <w:rFonts w:ascii="Calibri" w:eastAsia="Times New Roman" w:hAnsi="Calibri" w:cs="Calibri"/>
                <w:lang w:eastAsia="fr-FR"/>
              </w:rPr>
              <w:t> SO2- </w:t>
            </w:r>
            <w:proofErr w:type="spellStart"/>
            <w:r w:rsidRPr="00502028">
              <w:rPr>
                <w:rFonts w:ascii="Calibri" w:eastAsia="Times New Roman" w:hAnsi="Calibri" w:cs="Calibri"/>
                <w:lang w:eastAsia="fr-FR"/>
              </w:rPr>
              <w:t>éq</w:t>
            </w:r>
            <w:proofErr w:type="spellEnd"/>
            <w:r w:rsidRPr="00502028">
              <w:rPr>
                <w:rFonts w:ascii="Calibri" w:eastAsia="Times New Roman" w:hAnsi="Calibri" w:cs="Calibri"/>
                <w:lang w:eastAsia="fr-FR"/>
              </w:rPr>
              <w:t>. </w:t>
            </w:r>
          </w:p>
        </w:tc>
      </w:tr>
      <w:tr w:rsidR="00C47B0D" w:rsidRPr="00502028" w14:paraId="0448E00D" w14:textId="77777777" w:rsidTr="001C70A3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1FDFCB" w14:textId="77777777" w:rsidR="00C47B0D" w:rsidRPr="00502028" w:rsidRDefault="00C47B0D" w:rsidP="001C70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02028">
              <w:rPr>
                <w:rFonts w:ascii="Calibri" w:eastAsia="Times New Roman" w:hAnsi="Calibri" w:cs="Calibri"/>
                <w:lang w:eastAsia="fr-FR"/>
              </w:rPr>
              <w:t>Potentiel de dégradation abiotique des ressources pour les éléments (</w:t>
            </w:r>
            <w:proofErr w:type="spellStart"/>
            <w:r w:rsidRPr="00502028">
              <w:rPr>
                <w:rFonts w:ascii="Calibri" w:eastAsia="Times New Roman" w:hAnsi="Calibri" w:cs="Calibri"/>
                <w:lang w:eastAsia="fr-FR"/>
              </w:rPr>
              <w:t>ADP_éléments</w:t>
            </w:r>
            <w:proofErr w:type="spellEnd"/>
            <w:r w:rsidRPr="00502028">
              <w:rPr>
                <w:rFonts w:ascii="Calibri" w:eastAsia="Times New Roman" w:hAnsi="Calibri" w:cs="Calibri"/>
                <w:lang w:eastAsia="fr-FR"/>
              </w:rPr>
              <w:t>) 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D966C8" w14:textId="77777777" w:rsidR="00C47B0D" w:rsidRPr="00502028" w:rsidRDefault="00C47B0D" w:rsidP="001C70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502028">
              <w:rPr>
                <w:rFonts w:ascii="Calibri" w:eastAsia="Times New Roman" w:hAnsi="Calibri" w:cs="Calibri"/>
                <w:lang w:eastAsia="fr-FR"/>
              </w:rPr>
              <w:t>kg</w:t>
            </w:r>
            <w:proofErr w:type="gramEnd"/>
            <w:r w:rsidRPr="00502028">
              <w:rPr>
                <w:rFonts w:ascii="Calibri" w:eastAsia="Times New Roman" w:hAnsi="Calibri" w:cs="Calibri"/>
                <w:lang w:eastAsia="fr-FR"/>
              </w:rPr>
              <w:t> Sb </w:t>
            </w:r>
            <w:proofErr w:type="spellStart"/>
            <w:r w:rsidRPr="00502028">
              <w:rPr>
                <w:rFonts w:ascii="Calibri" w:eastAsia="Times New Roman" w:hAnsi="Calibri" w:cs="Calibri"/>
                <w:lang w:eastAsia="fr-FR"/>
              </w:rPr>
              <w:t>éq</w:t>
            </w:r>
            <w:proofErr w:type="spellEnd"/>
            <w:r w:rsidRPr="00502028">
              <w:rPr>
                <w:rFonts w:ascii="Calibri" w:eastAsia="Times New Roman" w:hAnsi="Calibri" w:cs="Calibri"/>
                <w:lang w:eastAsia="fr-FR"/>
              </w:rPr>
              <w:t>. </w:t>
            </w:r>
          </w:p>
        </w:tc>
      </w:tr>
      <w:tr w:rsidR="00C47B0D" w:rsidRPr="00502028" w14:paraId="43DFF4F0" w14:textId="77777777" w:rsidTr="001C70A3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C7FA95" w14:textId="77777777" w:rsidR="00C47B0D" w:rsidRPr="00502028" w:rsidRDefault="00C47B0D" w:rsidP="001C70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02028">
              <w:rPr>
                <w:rFonts w:ascii="Calibri" w:eastAsia="Times New Roman" w:hAnsi="Calibri" w:cs="Calibri"/>
                <w:lang w:eastAsia="fr-FR"/>
              </w:rPr>
              <w:t>Utilisation nette d'eau douce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E5183E" w14:textId="77777777" w:rsidR="00C47B0D" w:rsidRPr="00502028" w:rsidRDefault="00C47B0D" w:rsidP="001C70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02028">
              <w:rPr>
                <w:rFonts w:ascii="Calibri" w:eastAsia="Times New Roman" w:hAnsi="Calibri" w:cs="Calibri"/>
                <w:lang w:eastAsia="fr-FR"/>
              </w:rPr>
              <w:t>m³ </w:t>
            </w:r>
          </w:p>
        </w:tc>
      </w:tr>
      <w:tr w:rsidR="00C47B0D" w:rsidRPr="00502028" w14:paraId="4422F3ED" w14:textId="77777777" w:rsidTr="001C70A3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C4830B" w14:textId="77777777" w:rsidR="00C47B0D" w:rsidRPr="00502028" w:rsidRDefault="00C47B0D" w:rsidP="001C70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02028">
              <w:rPr>
                <w:rFonts w:ascii="Calibri" w:eastAsia="Times New Roman" w:hAnsi="Calibri" w:cs="Calibri"/>
                <w:lang w:eastAsia="fr-FR"/>
              </w:rPr>
              <w:t>Consommation totale d'énergie primaire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E3E707" w14:textId="77777777" w:rsidR="00C47B0D" w:rsidRPr="00502028" w:rsidRDefault="00C47B0D" w:rsidP="001C70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02028">
              <w:rPr>
                <w:rFonts w:ascii="Calibri" w:eastAsia="Times New Roman" w:hAnsi="Calibri" w:cs="Calibri"/>
                <w:lang w:eastAsia="fr-FR"/>
              </w:rPr>
              <w:t>MJ, pouvoir calorifique inférieur </w:t>
            </w:r>
          </w:p>
        </w:tc>
      </w:tr>
      <w:tr w:rsidR="00C47B0D" w:rsidRPr="00502028" w14:paraId="2759B651" w14:textId="77777777" w:rsidTr="001C70A3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F4A9BC" w14:textId="77777777" w:rsidR="00C47B0D" w:rsidRPr="00502028" w:rsidRDefault="00C47B0D" w:rsidP="001C70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02028">
              <w:rPr>
                <w:rFonts w:ascii="Calibri" w:eastAsia="Times New Roman" w:hAnsi="Calibri" w:cs="Calibri"/>
                <w:lang w:eastAsia="fr-FR"/>
              </w:rPr>
              <w:t>Consommation d'énergie non-renouvelable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205495" w14:textId="77777777" w:rsidR="00C47B0D" w:rsidRPr="00502028" w:rsidRDefault="00C47B0D" w:rsidP="001C70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02028">
              <w:rPr>
                <w:rFonts w:ascii="Calibri" w:eastAsia="Times New Roman" w:hAnsi="Calibri" w:cs="Calibri"/>
                <w:lang w:eastAsia="fr-FR"/>
              </w:rPr>
              <w:t>MJ, pouvoir calorifique inférieur </w:t>
            </w:r>
          </w:p>
        </w:tc>
      </w:tr>
      <w:tr w:rsidR="00C47B0D" w:rsidRPr="00502028" w14:paraId="3CA9A134" w14:textId="77777777" w:rsidTr="001C70A3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B40144" w14:textId="77777777" w:rsidR="00C47B0D" w:rsidRPr="00502028" w:rsidRDefault="00C47B0D" w:rsidP="001C70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02028">
              <w:rPr>
                <w:rFonts w:ascii="Calibri" w:eastAsia="Times New Roman" w:hAnsi="Calibri" w:cs="Calibri"/>
                <w:lang w:eastAsia="fr-FR"/>
              </w:rPr>
              <w:t>Déchets non dangereux éliminés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A15E41" w14:textId="77777777" w:rsidR="00C47B0D" w:rsidRPr="00502028" w:rsidRDefault="00C47B0D" w:rsidP="001C70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02028">
              <w:rPr>
                <w:rFonts w:ascii="Calibri" w:eastAsia="Times New Roman" w:hAnsi="Calibri" w:cs="Calibri"/>
                <w:lang w:eastAsia="fr-FR"/>
              </w:rPr>
              <w:t>kg </w:t>
            </w:r>
          </w:p>
        </w:tc>
      </w:tr>
      <w:tr w:rsidR="00C47B0D" w:rsidRPr="00502028" w14:paraId="5CBA726C" w14:textId="77777777" w:rsidTr="001C70A3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9A2D91" w14:textId="77777777" w:rsidR="00C47B0D" w:rsidRPr="00502028" w:rsidRDefault="00C47B0D" w:rsidP="001C70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02028">
              <w:rPr>
                <w:rFonts w:ascii="Calibri" w:eastAsia="Times New Roman" w:hAnsi="Calibri" w:cs="Calibri"/>
                <w:lang w:eastAsia="fr-FR"/>
              </w:rPr>
              <w:t>Déchets dangereux éliminés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D3002B" w14:textId="77777777" w:rsidR="00C47B0D" w:rsidRPr="00502028" w:rsidRDefault="00C47B0D" w:rsidP="001C70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02028">
              <w:rPr>
                <w:rFonts w:ascii="Calibri" w:eastAsia="Times New Roman" w:hAnsi="Calibri" w:cs="Calibri"/>
                <w:lang w:eastAsia="fr-FR"/>
              </w:rPr>
              <w:t>kg </w:t>
            </w:r>
          </w:p>
        </w:tc>
      </w:tr>
    </w:tbl>
    <w:p w14:paraId="77C47C5D" w14:textId="77777777" w:rsidR="00C47B0D" w:rsidRPr="00502028" w:rsidRDefault="00C47B0D" w:rsidP="00C47B0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br w:type="textWrapping" w:clear="all"/>
      </w:r>
      <w:r w:rsidRPr="00502028">
        <w:rPr>
          <w:rFonts w:ascii="Calibri" w:eastAsia="Times New Roman" w:hAnsi="Calibri" w:cs="Calibri"/>
          <w:color w:val="000000"/>
          <w:lang w:eastAsia="fr-FR"/>
        </w:rPr>
        <w:t> </w:t>
      </w:r>
    </w:p>
    <w:p w14:paraId="47E3E18A" w14:textId="77777777" w:rsidR="00C47B0D" w:rsidRPr="00502028" w:rsidRDefault="00C47B0D" w:rsidP="00C47B0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502028">
        <w:rPr>
          <w:rFonts w:ascii="Calibri" w:eastAsia="Times New Roman" w:hAnsi="Calibri" w:cs="Calibri"/>
          <w:color w:val="000000"/>
          <w:lang w:eastAsia="fr-FR"/>
        </w:rPr>
        <w:t>Ces indicateurs ont été retenus parce qu’ils répondaient à trois critères : </w:t>
      </w:r>
    </w:p>
    <w:p w14:paraId="0C503863" w14:textId="77777777" w:rsidR="00C47B0D" w:rsidRPr="00502028" w:rsidRDefault="00C47B0D" w:rsidP="00C47B0D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lang w:eastAsia="fr-FR"/>
        </w:rPr>
      </w:pPr>
      <w:r w:rsidRPr="00502028">
        <w:rPr>
          <w:rFonts w:ascii="Calibri" w:eastAsia="Times New Roman" w:hAnsi="Calibri" w:cs="Calibri"/>
          <w:color w:val="000000"/>
          <w:lang w:eastAsia="fr-FR"/>
        </w:rPr>
        <w:t>Cohérence des indicateurs sélectionnés avec enjeux environnementaux du secteur de la construction, </w:t>
      </w:r>
    </w:p>
    <w:p w14:paraId="7C8FEBDA" w14:textId="77777777" w:rsidR="00C47B0D" w:rsidRPr="00502028" w:rsidRDefault="00C47B0D" w:rsidP="00C47B0D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lang w:eastAsia="fr-FR"/>
        </w:rPr>
      </w:pPr>
      <w:r w:rsidRPr="00502028">
        <w:rPr>
          <w:rFonts w:ascii="Calibri" w:eastAsia="Times New Roman" w:hAnsi="Calibri" w:cs="Calibri"/>
          <w:color w:val="000000"/>
          <w:lang w:eastAsia="fr-FR"/>
        </w:rPr>
        <w:t>Sensibilité du maître d’ouvrage LMH aux enjeux environnementaux portés par ses indicateurs, </w:t>
      </w:r>
    </w:p>
    <w:p w14:paraId="38580BBF" w14:textId="77777777" w:rsidR="00C47B0D" w:rsidRPr="00502028" w:rsidRDefault="00C47B0D" w:rsidP="00C47B0D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lang w:eastAsia="fr-FR"/>
        </w:rPr>
      </w:pPr>
      <w:r w:rsidRPr="00502028">
        <w:rPr>
          <w:rFonts w:ascii="Calibri" w:eastAsia="Times New Roman" w:hAnsi="Calibri" w:cs="Calibri"/>
          <w:color w:val="000000"/>
          <w:lang w:eastAsia="fr-FR"/>
        </w:rPr>
        <w:t>Compréhensibilité des indicateurs par les chargés de mission LMH. </w:t>
      </w:r>
    </w:p>
    <w:p w14:paraId="24C77A7A" w14:textId="77777777" w:rsidR="00C47B0D" w:rsidRPr="00502028" w:rsidRDefault="00C47B0D" w:rsidP="00C47B0D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502028">
        <w:rPr>
          <w:rFonts w:ascii="Calibri" w:eastAsia="Times New Roman" w:hAnsi="Calibri" w:cs="Calibri"/>
          <w:color w:val="000000"/>
          <w:lang w:eastAsia="fr-FR"/>
        </w:rPr>
        <w:t> </w:t>
      </w:r>
    </w:p>
    <w:p w14:paraId="13B256DE" w14:textId="77777777" w:rsidR="00C47B0D" w:rsidRPr="002A2633" w:rsidRDefault="00C47B0D" w:rsidP="00C47B0D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b/>
          <w:lang w:eastAsia="fr-FR"/>
        </w:rPr>
      </w:pPr>
      <w:r w:rsidRPr="002A2633">
        <w:rPr>
          <w:rFonts w:ascii="Calibri" w:eastAsia="Times New Roman" w:hAnsi="Calibri" w:cs="Calibri"/>
          <w:b/>
          <w:color w:val="000000"/>
          <w:lang w:eastAsia="fr-FR"/>
        </w:rPr>
        <w:t>Transformation des valeurs d’impact par indicateur en note </w:t>
      </w:r>
    </w:p>
    <w:p w14:paraId="3BBB2D22" w14:textId="77777777" w:rsidR="00C47B0D" w:rsidRPr="00502028" w:rsidRDefault="00C47B0D" w:rsidP="00C47B0D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fr-FR"/>
        </w:rPr>
      </w:pPr>
    </w:p>
    <w:p w14:paraId="16BF4AD2" w14:textId="77777777" w:rsidR="00C47B0D" w:rsidRPr="00502028" w:rsidRDefault="00C47B0D" w:rsidP="00C47B0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502028">
        <w:rPr>
          <w:rFonts w:ascii="Calibri" w:eastAsia="Times New Roman" w:hAnsi="Calibri" w:cs="Calibri"/>
          <w:color w:val="000000"/>
          <w:lang w:eastAsia="fr-FR"/>
        </w:rPr>
        <w:t xml:space="preserve">Dans les fichiers récapitulatifs offres des candidats, les impacts globaux des projets sur les 9 indicateurs sont précisés. Le vérificateur récupère le détail de ces impacts pour les intégrer à son fichier d’évaluation </w:t>
      </w:r>
      <w:r>
        <w:rPr>
          <w:rFonts w:ascii="Calibri" w:eastAsia="Times New Roman" w:hAnsi="Calibri" w:cs="Calibri"/>
          <w:color w:val="000000"/>
          <w:lang w:eastAsia="fr-FR"/>
        </w:rPr>
        <w:t>dans l’onglet « Evaluation des offres »</w:t>
      </w:r>
      <w:r w:rsidRPr="00502028">
        <w:rPr>
          <w:rFonts w:ascii="Calibri" w:eastAsia="Times New Roman" w:hAnsi="Calibri" w:cs="Calibri"/>
          <w:color w:val="000000"/>
          <w:lang w:eastAsia="fr-FR"/>
        </w:rPr>
        <w:t>. </w:t>
      </w:r>
    </w:p>
    <w:p w14:paraId="43A6091F" w14:textId="77777777" w:rsidR="00C47B0D" w:rsidRDefault="00C47B0D" w:rsidP="00C47B0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Le principe</w:t>
      </w:r>
      <w:r w:rsidRPr="00502028">
        <w:rPr>
          <w:rFonts w:ascii="Calibri" w:eastAsia="Times New Roman" w:hAnsi="Calibri" w:cs="Calibri"/>
          <w:color w:val="000000"/>
          <w:lang w:eastAsia="fr-FR"/>
        </w:rPr>
        <w:t xml:space="preserve"> est de transformer les valeurs d’impact, des différents projets et pour chaque indicateur, en points sur une échelle de 0 à 10. Pour </w:t>
      </w:r>
      <w:r>
        <w:rPr>
          <w:rFonts w:ascii="Calibri" w:eastAsia="Times New Roman" w:hAnsi="Calibri" w:cs="Calibri"/>
          <w:color w:val="000000"/>
          <w:lang w:eastAsia="fr-FR"/>
        </w:rPr>
        <w:t>cela</w:t>
      </w:r>
      <w:r w:rsidRPr="00502028">
        <w:rPr>
          <w:rFonts w:ascii="Calibri" w:eastAsia="Times New Roman" w:hAnsi="Calibri" w:cs="Calibri"/>
          <w:color w:val="000000"/>
          <w:lang w:eastAsia="fr-FR"/>
        </w:rPr>
        <w:t xml:space="preserve">, sur un indicateur donné, le projet présentant la valeur d’impact la plus </w:t>
      </w:r>
      <w:r>
        <w:rPr>
          <w:rFonts w:ascii="Calibri" w:eastAsia="Times New Roman" w:hAnsi="Calibri" w:cs="Calibri"/>
          <w:color w:val="000000"/>
          <w:lang w:eastAsia="fr-FR"/>
        </w:rPr>
        <w:t>basse (i.e. l’impact environnemental le plus faible sur cet indicateur), se verra attribué la note</w:t>
      </w:r>
      <w:r w:rsidRPr="00502028">
        <w:rPr>
          <w:rFonts w:ascii="Calibri" w:eastAsia="Times New Roman" w:hAnsi="Calibri" w:cs="Calibri"/>
          <w:color w:val="000000"/>
          <w:lang w:eastAsia="fr-FR"/>
        </w:rPr>
        <w:t xml:space="preserve"> de </w:t>
      </w:r>
      <w:r>
        <w:rPr>
          <w:rFonts w:ascii="Calibri" w:eastAsia="Times New Roman" w:hAnsi="Calibri" w:cs="Calibri"/>
          <w:color w:val="000000"/>
          <w:lang w:eastAsia="fr-FR"/>
        </w:rPr>
        <w:t>10</w:t>
      </w:r>
      <w:r w:rsidRPr="00502028">
        <w:rPr>
          <w:rFonts w:ascii="Calibri" w:eastAsia="Times New Roman" w:hAnsi="Calibri" w:cs="Calibri"/>
          <w:color w:val="000000"/>
          <w:lang w:eastAsia="fr-FR"/>
        </w:rPr>
        <w:t xml:space="preserve">. </w:t>
      </w:r>
      <w:r>
        <w:rPr>
          <w:rFonts w:ascii="Calibri" w:eastAsia="Times New Roman" w:hAnsi="Calibri" w:cs="Calibri"/>
          <w:color w:val="000000"/>
          <w:lang w:eastAsia="fr-FR"/>
        </w:rPr>
        <w:t>La valeur d’impact obtenue pour ce projet est définie comme la référence pour la notation des différents projets sur cet indicateur</w:t>
      </w:r>
      <w:r w:rsidRPr="00502028">
        <w:rPr>
          <w:rFonts w:ascii="Calibri" w:eastAsia="Times New Roman" w:hAnsi="Calibri" w:cs="Calibri"/>
          <w:color w:val="000000"/>
          <w:lang w:eastAsia="fr-FR"/>
        </w:rPr>
        <w:t xml:space="preserve">. </w:t>
      </w:r>
      <w:r>
        <w:rPr>
          <w:rFonts w:ascii="Calibri" w:eastAsia="Times New Roman" w:hAnsi="Calibri" w:cs="Calibri"/>
          <w:color w:val="000000"/>
          <w:lang w:eastAsia="fr-FR"/>
        </w:rPr>
        <w:t>L</w:t>
      </w:r>
      <w:r w:rsidRPr="00502028">
        <w:rPr>
          <w:rFonts w:ascii="Calibri" w:eastAsia="Times New Roman" w:hAnsi="Calibri" w:cs="Calibri"/>
          <w:color w:val="000000"/>
          <w:lang w:eastAsia="fr-FR"/>
        </w:rPr>
        <w:t xml:space="preserve">es projets </w:t>
      </w:r>
      <w:r>
        <w:rPr>
          <w:rFonts w:ascii="Calibri" w:eastAsia="Times New Roman" w:hAnsi="Calibri" w:cs="Calibri"/>
          <w:color w:val="000000"/>
          <w:lang w:eastAsia="fr-FR"/>
        </w:rPr>
        <w:t xml:space="preserve">concurrents </w:t>
      </w:r>
      <w:r w:rsidRPr="00502028">
        <w:rPr>
          <w:rFonts w:ascii="Calibri" w:eastAsia="Times New Roman" w:hAnsi="Calibri" w:cs="Calibri"/>
          <w:color w:val="000000"/>
          <w:lang w:eastAsia="fr-FR"/>
        </w:rPr>
        <w:t>se verront attribuer une note entre 0 et 10</w:t>
      </w:r>
      <w:r>
        <w:rPr>
          <w:rFonts w:ascii="Calibri" w:eastAsia="Times New Roman" w:hAnsi="Calibri" w:cs="Calibri"/>
          <w:color w:val="000000"/>
          <w:lang w:eastAsia="fr-FR"/>
        </w:rPr>
        <w:t xml:space="preserve"> sur les différents indicateurs en appliquant la formule :</w:t>
      </w:r>
    </w:p>
    <w:p w14:paraId="53B8B1E4" w14:textId="77777777" w:rsidR="00C47B0D" w:rsidRDefault="00C47B0D" w:rsidP="00C47B0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fr-FR"/>
        </w:rPr>
      </w:pPr>
    </w:p>
    <w:p w14:paraId="6F8D6A8A" w14:textId="77777777" w:rsidR="00C47B0D" w:rsidRDefault="00C47B0D" w:rsidP="00C47B0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m:oMath>
        <m:r>
          <w:rPr>
            <w:rFonts w:ascii="Cambria Math" w:eastAsia="Times New Roman" w:hAnsi="Cambria Math" w:cs="Calibri"/>
            <w:color w:val="000000"/>
            <w:lang w:eastAsia="fr-FR"/>
          </w:rPr>
          <m:t>N</m:t>
        </m:r>
        <m:sSubSup>
          <m:sSubSupPr>
            <m:ctrlPr>
              <w:rPr>
                <w:rFonts w:ascii="Cambria Math" w:eastAsia="Times New Roman" w:hAnsi="Cambria Math" w:cs="Calibri"/>
                <w:i/>
                <w:color w:val="000000"/>
                <w:lang w:eastAsia="fr-FR"/>
              </w:rPr>
            </m:ctrlPr>
          </m:sSubSupPr>
          <m:e>
            <m:r>
              <w:rPr>
                <w:rFonts w:ascii="Cambria Math" w:eastAsia="Times New Roman" w:hAnsi="Cambria Math" w:cs="Calibri"/>
                <w:color w:val="000000"/>
                <w:lang w:eastAsia="fr-FR"/>
              </w:rPr>
              <m:t>ote</m:t>
            </m:r>
          </m:e>
          <m:sub>
            <m:r>
              <w:rPr>
                <w:rFonts w:ascii="Cambria Math" w:eastAsia="Times New Roman" w:hAnsi="Cambria Math" w:cs="Calibri"/>
                <w:color w:val="000000"/>
                <w:lang w:eastAsia="fr-FR"/>
              </w:rPr>
              <m:t>Projet x</m:t>
            </m:r>
          </m:sub>
          <m:sup>
            <m:r>
              <w:rPr>
                <w:rFonts w:ascii="Cambria Math" w:eastAsia="Times New Roman" w:hAnsi="Cambria Math" w:cs="Calibri"/>
                <w:color w:val="000000"/>
                <w:lang w:eastAsia="fr-FR"/>
              </w:rPr>
              <m:t>Indicateur a</m:t>
            </m:r>
          </m:sup>
        </m:sSubSup>
        <m:r>
          <w:rPr>
            <w:rFonts w:ascii="Cambria Math" w:eastAsia="Times New Roman" w:hAnsi="Cambria Math" w:cs="Calibri"/>
            <w:color w:val="000000"/>
            <w:lang w:eastAsia="fr-FR"/>
          </w:rPr>
          <m:t>=</m:t>
        </m:r>
        <m:sSubSup>
          <m:sSubSupPr>
            <m:ctrlPr>
              <w:rPr>
                <w:rFonts w:ascii="Cambria Math" w:eastAsia="Times New Roman" w:hAnsi="Cambria Math" w:cs="Calibri"/>
                <w:i/>
                <w:color w:val="000000"/>
                <w:lang w:eastAsia="fr-FR"/>
              </w:rPr>
            </m:ctrlPr>
          </m:sSubSupPr>
          <m:e>
            <m:r>
              <w:rPr>
                <w:rFonts w:ascii="Cambria Math" w:eastAsia="Times New Roman" w:hAnsi="Cambria Math" w:cs="Calibri"/>
                <w:color w:val="000000"/>
                <w:lang w:eastAsia="fr-FR"/>
              </w:rPr>
              <m:t>Note</m:t>
            </m:r>
          </m:e>
          <m:sub>
            <m:r>
              <w:rPr>
                <w:rFonts w:ascii="Cambria Math" w:eastAsia="Times New Roman" w:hAnsi="Cambria Math" w:cs="Calibri"/>
                <w:color w:val="000000"/>
                <w:lang w:eastAsia="fr-FR"/>
              </w:rPr>
              <m:t>maximale</m:t>
            </m:r>
          </m:sub>
          <m:sup>
            <m:r>
              <w:rPr>
                <w:rFonts w:ascii="Cambria Math" w:eastAsia="Times New Roman" w:hAnsi="Cambria Math" w:cs="Calibri"/>
                <w:color w:val="000000"/>
                <w:lang w:eastAsia="fr-FR"/>
              </w:rPr>
              <m:t>indicateur a</m:t>
            </m:r>
          </m:sup>
        </m:sSubSup>
        <m:r>
          <w:rPr>
            <w:rFonts w:ascii="Cambria Math" w:eastAsia="Times New Roman" w:hAnsi="Cambria Math" w:cs="Calibri"/>
            <w:color w:val="000000"/>
            <w:lang w:eastAsia="fr-FR"/>
          </w:rPr>
          <m:t xml:space="preserve"> × </m:t>
        </m:r>
        <m:f>
          <m:fPr>
            <m:ctrlPr>
              <w:rPr>
                <w:rFonts w:ascii="Cambria Math" w:eastAsia="Times New Roman" w:hAnsi="Cambria Math" w:cs="Calibri"/>
                <w:i/>
                <w:color w:val="000000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Calibri"/>
                <w:color w:val="000000"/>
                <w:lang w:eastAsia="fr-FR"/>
              </w:rPr>
              <m:t>V</m:t>
            </m:r>
            <m:sSubSup>
              <m:sSubSupPr>
                <m:ctrlPr>
                  <w:rPr>
                    <w:rFonts w:ascii="Cambria Math" w:eastAsia="Times New Roman" w:hAnsi="Cambria Math" w:cs="Calibri"/>
                    <w:i/>
                    <w:color w:val="000000"/>
                    <w:lang w:eastAsia="fr-FR"/>
                  </w:rPr>
                </m:ctrlPr>
              </m:sSubSupPr>
              <m:e>
                <m:r>
                  <w:rPr>
                    <w:rFonts w:ascii="Cambria Math" w:eastAsia="Times New Roman" w:hAnsi="Cambria Math" w:cs="Calibri"/>
                    <w:color w:val="000000"/>
                    <w:lang w:eastAsia="fr-FR"/>
                  </w:rPr>
                  <m:t>aleur impact</m:t>
                </m:r>
              </m:e>
              <m:sub>
                <m:r>
                  <w:rPr>
                    <w:rFonts w:ascii="Cambria Math" w:eastAsia="Times New Roman" w:hAnsi="Cambria Math" w:cs="Calibri"/>
                    <w:color w:val="000000"/>
                    <w:lang w:eastAsia="fr-FR"/>
                  </w:rPr>
                  <m:t xml:space="preserve">minimale </m:t>
                </m:r>
              </m:sub>
              <m:sup>
                <m:r>
                  <w:rPr>
                    <w:rFonts w:ascii="Cambria Math" w:eastAsia="Times New Roman" w:hAnsi="Cambria Math" w:cs="Calibri"/>
                    <w:color w:val="000000"/>
                    <w:lang w:eastAsia="fr-FR"/>
                  </w:rPr>
                  <m:t>indicateur a</m:t>
                </m:r>
              </m:sup>
            </m:sSubSup>
          </m:num>
          <m:den>
            <m:r>
              <w:rPr>
                <w:rFonts w:ascii="Cambria Math" w:eastAsia="Times New Roman" w:hAnsi="Cambria Math" w:cs="Calibri"/>
                <w:color w:val="000000"/>
                <w:lang w:eastAsia="fr-FR"/>
              </w:rPr>
              <m:t>Val</m:t>
            </m:r>
            <m:sSubSup>
              <m:sSubSupPr>
                <m:ctrlPr>
                  <w:rPr>
                    <w:rFonts w:ascii="Cambria Math" w:eastAsia="Times New Roman" w:hAnsi="Cambria Math" w:cs="Calibri"/>
                    <w:i/>
                    <w:color w:val="000000"/>
                    <w:lang w:eastAsia="fr-FR"/>
                  </w:rPr>
                </m:ctrlPr>
              </m:sSubSupPr>
              <m:e>
                <m:r>
                  <w:rPr>
                    <w:rFonts w:ascii="Cambria Math" w:eastAsia="Times New Roman" w:hAnsi="Cambria Math" w:cs="Calibri"/>
                    <w:color w:val="000000"/>
                    <w:lang w:eastAsia="fr-FR"/>
                  </w:rPr>
                  <m:t xml:space="preserve">eur impact </m:t>
                </m:r>
              </m:e>
              <m:sub>
                <m:r>
                  <w:rPr>
                    <w:rFonts w:ascii="Cambria Math" w:eastAsia="Times New Roman" w:hAnsi="Cambria Math" w:cs="Calibri"/>
                    <w:color w:val="000000"/>
                    <w:lang w:eastAsia="fr-FR"/>
                  </w:rPr>
                  <m:t>Projet x</m:t>
                </m:r>
              </m:sub>
              <m:sup>
                <m:r>
                  <w:rPr>
                    <w:rFonts w:ascii="Cambria Math" w:eastAsia="Times New Roman" w:hAnsi="Cambria Math" w:cs="Calibri"/>
                    <w:color w:val="000000"/>
                    <w:lang w:eastAsia="fr-FR"/>
                  </w:rPr>
                  <m:t>indicateur a</m:t>
                </m:r>
              </m:sup>
            </m:sSubSup>
          </m:den>
        </m:f>
      </m:oMath>
      <w:r w:rsidRPr="00502028">
        <w:rPr>
          <w:rFonts w:ascii="Calibri" w:eastAsia="Times New Roman" w:hAnsi="Calibri" w:cs="Calibri"/>
          <w:color w:val="000000"/>
          <w:lang w:eastAsia="fr-FR"/>
        </w:rPr>
        <w:t> </w:t>
      </w:r>
    </w:p>
    <w:p w14:paraId="1F3D33DC" w14:textId="77777777" w:rsidR="00C47B0D" w:rsidRPr="00502028" w:rsidRDefault="00C47B0D" w:rsidP="00C47B0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p w14:paraId="09FB3EFD" w14:textId="77777777" w:rsidR="00C47B0D" w:rsidRDefault="00C47B0D" w:rsidP="00C47B0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502028">
        <w:rPr>
          <w:rFonts w:ascii="Calibri" w:eastAsia="Times New Roman" w:hAnsi="Calibri" w:cs="Calibri"/>
          <w:color w:val="000000"/>
          <w:lang w:eastAsia="fr-FR"/>
        </w:rPr>
        <w:t>Ce procédé est répété sur les 9 indicateurs afin que les différents projets bénéficient de 9 notes</w:t>
      </w:r>
      <w:r>
        <w:rPr>
          <w:rFonts w:ascii="Calibri" w:eastAsia="Times New Roman" w:hAnsi="Calibri" w:cs="Calibri"/>
          <w:color w:val="000000"/>
          <w:lang w:eastAsia="fr-FR"/>
        </w:rPr>
        <w:t xml:space="preserve"> comprises entre 0 et 10</w:t>
      </w:r>
      <w:r w:rsidRPr="00502028">
        <w:rPr>
          <w:rFonts w:ascii="Calibri" w:eastAsia="Times New Roman" w:hAnsi="Calibri" w:cs="Calibri"/>
          <w:color w:val="000000"/>
          <w:lang w:eastAsia="fr-FR"/>
        </w:rPr>
        <w:t>. </w:t>
      </w:r>
    </w:p>
    <w:p w14:paraId="06AC2F01" w14:textId="77777777" w:rsidR="00C47B0D" w:rsidRPr="00502028" w:rsidRDefault="00C47B0D" w:rsidP="00C47B0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0F96B019" wp14:editId="22EE652F">
            <wp:extent cx="5735054" cy="3290896"/>
            <wp:effectExtent l="0" t="0" r="0" b="508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587" cy="3312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02028">
        <w:rPr>
          <w:rFonts w:ascii="Calibri" w:eastAsia="Times New Roman" w:hAnsi="Calibri" w:cs="Calibri"/>
          <w:color w:val="000000"/>
          <w:lang w:eastAsia="fr-FR"/>
        </w:rPr>
        <w:t> </w:t>
      </w:r>
    </w:p>
    <w:p w14:paraId="1693EA98" w14:textId="77777777" w:rsidR="00C47B0D" w:rsidRPr="00502028" w:rsidRDefault="00C47B0D" w:rsidP="00C47B0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mallCaps/>
          <w:color w:val="595959"/>
          <w:sz w:val="18"/>
          <w:szCs w:val="18"/>
          <w:lang w:eastAsia="fr-FR"/>
        </w:rPr>
      </w:pPr>
      <w:r w:rsidRPr="00502028">
        <w:rPr>
          <w:rFonts w:ascii="Calibri" w:eastAsia="Times New Roman" w:hAnsi="Calibri" w:cs="Calibri"/>
          <w:i/>
          <w:iCs/>
          <w:smallCaps/>
          <w:color w:val="44546A"/>
          <w:sz w:val="18"/>
          <w:szCs w:val="18"/>
          <w:lang w:eastAsia="fr-FR"/>
        </w:rPr>
        <w:t>Exemple de mise en œuvre de la méthode d'évaluation</w:t>
      </w:r>
      <w:r w:rsidRPr="00502028">
        <w:rPr>
          <w:rFonts w:ascii="Calibri" w:eastAsia="Times New Roman" w:hAnsi="Calibri" w:cs="Calibri"/>
          <w:b/>
          <w:bCs/>
          <w:smallCaps/>
          <w:color w:val="44546A"/>
          <w:sz w:val="18"/>
          <w:szCs w:val="18"/>
          <w:lang w:eastAsia="fr-FR"/>
        </w:rPr>
        <w:t> </w:t>
      </w:r>
    </w:p>
    <w:p w14:paraId="439B89A8" w14:textId="77777777" w:rsidR="00C47B0D" w:rsidRPr="00502028" w:rsidRDefault="00C47B0D" w:rsidP="00C47B0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502028">
        <w:rPr>
          <w:rFonts w:ascii="Calibri" w:eastAsia="Times New Roman" w:hAnsi="Calibri" w:cs="Calibri"/>
          <w:color w:val="44546A"/>
          <w:sz w:val="18"/>
          <w:szCs w:val="18"/>
          <w:lang w:eastAsia="fr-FR"/>
        </w:rPr>
        <w:t> </w:t>
      </w:r>
    </w:p>
    <w:p w14:paraId="40FCD3F6" w14:textId="77777777" w:rsidR="00C47B0D" w:rsidRPr="002A2633" w:rsidRDefault="00C47B0D" w:rsidP="00C47B0D">
      <w:pPr>
        <w:numPr>
          <w:ilvl w:val="0"/>
          <w:numId w:val="4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b/>
          <w:lang w:eastAsia="fr-FR"/>
        </w:rPr>
      </w:pPr>
      <w:r w:rsidRPr="002A2633">
        <w:rPr>
          <w:rFonts w:ascii="Calibri" w:eastAsia="Times New Roman" w:hAnsi="Calibri" w:cs="Calibri"/>
          <w:b/>
          <w:color w:val="000000"/>
          <w:lang w:eastAsia="fr-FR"/>
        </w:rPr>
        <w:t>Pondération des notes par indicateur </w:t>
      </w:r>
    </w:p>
    <w:p w14:paraId="3E5C6DB7" w14:textId="77777777" w:rsidR="00C47B0D" w:rsidRPr="00502028" w:rsidRDefault="00C47B0D" w:rsidP="00C47B0D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lang w:eastAsia="fr-FR"/>
        </w:rPr>
      </w:pPr>
    </w:p>
    <w:p w14:paraId="7AE9EE27" w14:textId="77777777" w:rsidR="00C47B0D" w:rsidRPr="00502028" w:rsidRDefault="00C47B0D" w:rsidP="00C47B0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502028">
        <w:rPr>
          <w:rFonts w:ascii="Calibri" w:eastAsia="Times New Roman" w:hAnsi="Calibri" w:cs="Calibri"/>
          <w:color w:val="000000"/>
          <w:lang w:eastAsia="fr-FR"/>
        </w:rPr>
        <w:t>Pour répondre, par exemple, à la sensibilité du maître d’ouvrage aux différents indicateurs retenus et en accord avec celui-ci, il est possible d’appliquer une pondération aux différentes valeurs d’impact.  </w:t>
      </w:r>
    </w:p>
    <w:p w14:paraId="7B6244DA" w14:textId="77777777" w:rsidR="00C47B0D" w:rsidRDefault="00C47B0D" w:rsidP="00C47B0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502028">
        <w:rPr>
          <w:rFonts w:ascii="Calibri" w:eastAsia="Times New Roman" w:hAnsi="Calibri" w:cs="Calibri"/>
          <w:color w:val="000000"/>
          <w:lang w:eastAsia="fr-FR"/>
        </w:rPr>
        <w:t>Par défaut, le paramètre est fixé à l’</w:t>
      </w:r>
      <w:proofErr w:type="spellStart"/>
      <w:r w:rsidRPr="00502028">
        <w:rPr>
          <w:rFonts w:ascii="Calibri" w:eastAsia="Times New Roman" w:hAnsi="Calibri" w:cs="Calibri"/>
          <w:color w:val="000000"/>
          <w:lang w:eastAsia="fr-FR"/>
        </w:rPr>
        <w:t>isopondération</w:t>
      </w:r>
      <w:proofErr w:type="spellEnd"/>
      <w:r w:rsidRPr="00502028">
        <w:rPr>
          <w:rFonts w:ascii="Calibri" w:eastAsia="Times New Roman" w:hAnsi="Calibri" w:cs="Calibri"/>
          <w:color w:val="000000"/>
          <w:lang w:eastAsia="fr-FR"/>
        </w:rPr>
        <w:t xml:space="preserve"> (pondération de 1 pour tous les indicateurs), mais peut être modifiée dans l’onglet « Evaluation des </w:t>
      </w:r>
      <w:r>
        <w:rPr>
          <w:rFonts w:ascii="Calibri" w:eastAsia="Times New Roman" w:hAnsi="Calibri" w:cs="Calibri"/>
          <w:color w:val="000000"/>
          <w:lang w:eastAsia="fr-FR"/>
        </w:rPr>
        <w:t>projets</w:t>
      </w:r>
      <w:r w:rsidRPr="00502028">
        <w:rPr>
          <w:rFonts w:ascii="Calibri" w:eastAsia="Times New Roman" w:hAnsi="Calibri" w:cs="Calibri"/>
          <w:color w:val="000000"/>
          <w:lang w:eastAsia="fr-FR"/>
        </w:rPr>
        <w:t> ». Cette pondération interviendra au moment de l’agrégation des notes sur les différents indicateurs en une note unique.  </w:t>
      </w:r>
    </w:p>
    <w:p w14:paraId="03F8549D" w14:textId="77777777" w:rsidR="00C47B0D" w:rsidRPr="00502028" w:rsidRDefault="00C47B0D" w:rsidP="00C47B0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p w14:paraId="68D2B06C" w14:textId="77777777" w:rsidR="00C47B0D" w:rsidRPr="002A2633" w:rsidRDefault="00C47B0D" w:rsidP="00C47B0D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b/>
          <w:lang w:eastAsia="fr-FR"/>
        </w:rPr>
      </w:pPr>
      <w:r w:rsidRPr="002A2633">
        <w:rPr>
          <w:rFonts w:ascii="Calibri" w:eastAsia="Times New Roman" w:hAnsi="Calibri" w:cs="Calibri"/>
          <w:b/>
          <w:color w:val="000000"/>
          <w:lang w:eastAsia="fr-FR"/>
        </w:rPr>
        <w:t>Score et note finale des projets </w:t>
      </w:r>
    </w:p>
    <w:p w14:paraId="75C71192" w14:textId="77777777" w:rsidR="00C47B0D" w:rsidRPr="00502028" w:rsidRDefault="00C47B0D" w:rsidP="00C47B0D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fr-FR"/>
        </w:rPr>
      </w:pPr>
    </w:p>
    <w:p w14:paraId="70FA1548" w14:textId="77777777" w:rsidR="00C47B0D" w:rsidRPr="00502028" w:rsidRDefault="00C47B0D" w:rsidP="00C47B0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502028">
        <w:rPr>
          <w:rFonts w:ascii="Calibri" w:eastAsia="Times New Roman" w:hAnsi="Calibri" w:cs="Calibri"/>
          <w:color w:val="000000"/>
          <w:lang w:eastAsia="fr-FR"/>
        </w:rPr>
        <w:t>Les notes des différents projets sur les 9 indicateurs sont agrégées, après application de la pondération, en un score unique. Le projet atteignant le score maximal sera celui dont le bilan ACV est le plus performant. A l’inverse, le projet dont le score agrégé sera le plus bas, présentera le bilan environnemental le moins favorable. </w:t>
      </w:r>
    </w:p>
    <w:p w14:paraId="450F661D" w14:textId="77777777" w:rsidR="00C47B0D" w:rsidRPr="00502028" w:rsidRDefault="00C47B0D" w:rsidP="00C47B0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502028">
        <w:rPr>
          <w:rFonts w:ascii="Calibri" w:eastAsia="Times New Roman" w:hAnsi="Calibri" w:cs="Calibri"/>
          <w:color w:val="000000"/>
          <w:lang w:eastAsia="fr-FR"/>
        </w:rPr>
        <w:t xml:space="preserve">Afin d’attribuer la note finale sur 10, une méthodologie </w:t>
      </w:r>
      <w:r>
        <w:rPr>
          <w:rFonts w:ascii="Calibri" w:eastAsia="Times New Roman" w:hAnsi="Calibri" w:cs="Calibri"/>
          <w:color w:val="000000"/>
          <w:lang w:eastAsia="fr-FR"/>
        </w:rPr>
        <w:t xml:space="preserve">analogue </w:t>
      </w:r>
      <w:r w:rsidRPr="00502028">
        <w:rPr>
          <w:rFonts w:ascii="Calibri" w:eastAsia="Times New Roman" w:hAnsi="Calibri" w:cs="Calibri"/>
          <w:color w:val="000000"/>
          <w:lang w:eastAsia="fr-FR"/>
        </w:rPr>
        <w:t>à celle appliquée pour les indicateurs d’impact est utilisée. Le projet bénéficiant du score le plus élevé se voit attribu</w:t>
      </w:r>
      <w:r>
        <w:rPr>
          <w:rFonts w:ascii="Calibri" w:eastAsia="Times New Roman" w:hAnsi="Calibri" w:cs="Calibri"/>
          <w:color w:val="000000"/>
          <w:lang w:eastAsia="fr-FR"/>
        </w:rPr>
        <w:t>er</w:t>
      </w:r>
      <w:r w:rsidRPr="00502028">
        <w:rPr>
          <w:rFonts w:ascii="Calibri" w:eastAsia="Times New Roman" w:hAnsi="Calibri" w:cs="Calibri"/>
          <w:color w:val="000000"/>
          <w:lang w:eastAsia="fr-FR"/>
        </w:rPr>
        <w:t xml:space="preserve"> la note de 10</w:t>
      </w:r>
      <w:r>
        <w:rPr>
          <w:rFonts w:ascii="Calibri" w:eastAsia="Times New Roman" w:hAnsi="Calibri" w:cs="Calibri"/>
          <w:color w:val="000000"/>
          <w:lang w:eastAsia="fr-FR"/>
        </w:rPr>
        <w:t xml:space="preserve"> et définit la référence. Par règle de trois, les</w:t>
      </w:r>
      <w:r w:rsidRPr="00502028">
        <w:rPr>
          <w:rFonts w:ascii="Calibri" w:eastAsia="Times New Roman" w:hAnsi="Calibri" w:cs="Calibri"/>
          <w:color w:val="000000"/>
          <w:lang w:eastAsia="fr-FR"/>
        </w:rPr>
        <w:t xml:space="preserve"> projet</w:t>
      </w:r>
      <w:r>
        <w:rPr>
          <w:rFonts w:ascii="Calibri" w:eastAsia="Times New Roman" w:hAnsi="Calibri" w:cs="Calibri"/>
          <w:color w:val="000000"/>
          <w:lang w:eastAsia="fr-FR"/>
        </w:rPr>
        <w:t>s</w:t>
      </w:r>
      <w:r w:rsidRPr="00502028">
        <w:rPr>
          <w:rFonts w:ascii="Calibri" w:eastAsia="Times New Roman" w:hAnsi="Calibri" w:cs="Calibri"/>
          <w:color w:val="00000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lang w:eastAsia="fr-FR"/>
        </w:rPr>
        <w:t xml:space="preserve">concurrents </w:t>
      </w:r>
      <w:r w:rsidRPr="00502028">
        <w:rPr>
          <w:rFonts w:ascii="Calibri" w:eastAsia="Times New Roman" w:hAnsi="Calibri" w:cs="Calibri"/>
          <w:color w:val="000000"/>
          <w:lang w:eastAsia="fr-FR"/>
        </w:rPr>
        <w:t>se voient attribu</w:t>
      </w:r>
      <w:r>
        <w:rPr>
          <w:rFonts w:ascii="Calibri" w:eastAsia="Times New Roman" w:hAnsi="Calibri" w:cs="Calibri"/>
          <w:color w:val="000000"/>
          <w:lang w:eastAsia="fr-FR"/>
        </w:rPr>
        <w:t>er</w:t>
      </w:r>
      <w:r w:rsidRPr="00502028">
        <w:rPr>
          <w:rFonts w:ascii="Calibri" w:eastAsia="Times New Roman" w:hAnsi="Calibri" w:cs="Calibri"/>
          <w:color w:val="000000"/>
          <w:lang w:eastAsia="fr-FR"/>
        </w:rPr>
        <w:t xml:space="preserve"> une note comprise entre 0 et 10. </w:t>
      </w:r>
    </w:p>
    <w:p w14:paraId="7ACD4338" w14:textId="77777777" w:rsidR="00C47B0D" w:rsidRDefault="00C47B0D" w:rsidP="00C47B0D">
      <w:pPr>
        <w:spacing w:after="0" w:line="240" w:lineRule="auto"/>
        <w:jc w:val="both"/>
        <w:textAlignment w:val="baseline"/>
      </w:pPr>
    </w:p>
    <w:p w14:paraId="2F98AFA2" w14:textId="77777777" w:rsidR="006956AF" w:rsidRDefault="006956AF"/>
    <w:sectPr w:rsidR="006956AF" w:rsidSect="007A0A1D">
      <w:headerReference w:type="default" r:id="rId8"/>
      <w:pgSz w:w="11623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6EE53" w14:textId="77777777" w:rsidR="00E22F79" w:rsidRDefault="00E22F79" w:rsidP="00AC6BB9">
      <w:pPr>
        <w:spacing w:after="0" w:line="240" w:lineRule="auto"/>
      </w:pPr>
      <w:r>
        <w:separator/>
      </w:r>
    </w:p>
  </w:endnote>
  <w:endnote w:type="continuationSeparator" w:id="0">
    <w:p w14:paraId="572F8542" w14:textId="77777777" w:rsidR="00E22F79" w:rsidRDefault="00E22F79" w:rsidP="00AC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F6CF" w14:textId="77777777" w:rsidR="00E22F79" w:rsidRDefault="00E22F79" w:rsidP="00AC6BB9">
      <w:pPr>
        <w:spacing w:after="0" w:line="240" w:lineRule="auto"/>
      </w:pPr>
      <w:r>
        <w:separator/>
      </w:r>
    </w:p>
  </w:footnote>
  <w:footnote w:type="continuationSeparator" w:id="0">
    <w:p w14:paraId="57F11C19" w14:textId="77777777" w:rsidR="00E22F79" w:rsidRDefault="00E22F79" w:rsidP="00AC6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D7D8" w14:textId="3A19603D" w:rsidR="00AC6BB9" w:rsidRDefault="00AC6BB9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8DCF63" wp14:editId="6F1DAA50">
          <wp:simplePos x="0" y="0"/>
          <wp:positionH relativeFrom="rightMargin">
            <wp:align>left</wp:align>
          </wp:positionH>
          <wp:positionV relativeFrom="paragraph">
            <wp:posOffset>-95885</wp:posOffset>
          </wp:positionV>
          <wp:extent cx="480060" cy="480060"/>
          <wp:effectExtent l="0" t="0" r="0" b="0"/>
          <wp:wrapTight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5908"/>
    <w:multiLevelType w:val="multilevel"/>
    <w:tmpl w:val="B9568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534152"/>
    <w:multiLevelType w:val="multilevel"/>
    <w:tmpl w:val="38F8F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5563C6"/>
    <w:multiLevelType w:val="multilevel"/>
    <w:tmpl w:val="CE7E7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122B00"/>
    <w:multiLevelType w:val="multilevel"/>
    <w:tmpl w:val="ADC28B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8F008F"/>
    <w:multiLevelType w:val="multilevel"/>
    <w:tmpl w:val="129C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0D"/>
    <w:rsid w:val="00033776"/>
    <w:rsid w:val="006956AF"/>
    <w:rsid w:val="00AC6BB9"/>
    <w:rsid w:val="00C47B0D"/>
    <w:rsid w:val="00E2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FC53"/>
  <w15:chartTrackingRefBased/>
  <w15:docId w15:val="{7550E25B-4C32-40F7-B3C9-B0613AE8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B0D"/>
  </w:style>
  <w:style w:type="paragraph" w:styleId="Titre1">
    <w:name w:val="heading 1"/>
    <w:basedOn w:val="Normal"/>
    <w:next w:val="Normal"/>
    <w:link w:val="Titre1Car"/>
    <w:uiPriority w:val="9"/>
    <w:qFormat/>
    <w:rsid w:val="00AC6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6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6BB9"/>
  </w:style>
  <w:style w:type="paragraph" w:styleId="Pieddepage">
    <w:name w:val="footer"/>
    <w:basedOn w:val="Normal"/>
    <w:link w:val="PieddepageCar"/>
    <w:uiPriority w:val="99"/>
    <w:unhideWhenUsed/>
    <w:rsid w:val="00AC6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6BB9"/>
  </w:style>
  <w:style w:type="character" w:customStyle="1" w:styleId="Titre1Car">
    <w:name w:val="Titre 1 Car"/>
    <w:basedOn w:val="Policepardfaut"/>
    <w:link w:val="Titre1"/>
    <w:uiPriority w:val="9"/>
    <w:rsid w:val="00AC6B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C6BB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r.breuil</dc:creator>
  <cp:keywords/>
  <dc:description/>
  <cp:lastModifiedBy>Marie Darul - CD2E</cp:lastModifiedBy>
  <cp:revision>2</cp:revision>
  <dcterms:created xsi:type="dcterms:W3CDTF">2021-04-19T09:26:00Z</dcterms:created>
  <dcterms:modified xsi:type="dcterms:W3CDTF">2021-04-19T13:32:00Z</dcterms:modified>
</cp:coreProperties>
</file>